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rPr/>
      </w:pPr>
      <w:r>
        <w:rPr/>
        <w:t>Приложение 1</w:t>
      </w:r>
    </w:p>
    <w:p>
      <w:pPr>
        <w:pStyle w:val="Normal"/>
        <w:suppressAutoHyphens w:val="true"/>
        <w:spacing w:lineRule="auto" w:line="240" w:before="0" w:after="0"/>
        <w:ind w:left="110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муниципальной программе</w:t>
      </w:r>
    </w:p>
    <w:p>
      <w:pPr>
        <w:pStyle w:val="Normal"/>
        <w:suppressAutoHyphens w:val="true"/>
        <w:spacing w:lineRule="auto" w:line="240" w:before="0" w:after="0"/>
        <w:ind w:left="110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«Информационное обеспечение населения»</w:t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uppressAutoHyphens w:val="true"/>
        <w:spacing w:lineRule="auto" w:line="240" w:before="0"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Heading2"/>
        <w:rPr/>
      </w:pPr>
      <w:r>
        <w:rPr/>
        <w:t>ЦЕЛЕВЫЕ ПОКАЗАТЕЛИ МУНИЦИПАЛЬНОЙ ПРОГРАММЫ</w:t>
      </w:r>
    </w:p>
    <w:p>
      <w:pPr>
        <w:pStyle w:val="Normal"/>
        <w:suppressAutoHyphens w:val="true"/>
        <w:spacing w:lineRule="auto" w:line="240" w:before="0"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«Информационное обеспечение населения»</w:t>
      </w:r>
    </w:p>
    <w:p>
      <w:pPr>
        <w:pStyle w:val="Normal"/>
        <w:suppressAutoHyphens w:val="true"/>
        <w:spacing w:before="0" w:after="0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tbl>
      <w:tblPr>
        <w:tblW w:w="14426" w:type="dxa"/>
        <w:jc w:val="left"/>
        <w:tblInd w:w="28" w:type="dxa"/>
        <w:tblLayout w:type="fixed"/>
        <w:tblCellMar>
          <w:top w:w="0" w:type="dxa"/>
          <w:left w:w="28" w:type="dxa"/>
          <w:bottom w:w="0" w:type="dxa"/>
          <w:right w:w="28" w:type="dxa"/>
        </w:tblCellMar>
        <w:tblLook w:val="0000" w:noHBand="0" w:noVBand="0" w:firstColumn="0" w:lastRow="0" w:lastColumn="0" w:firstRow="0"/>
      </w:tblPr>
      <w:tblGrid>
        <w:gridCol w:w="676"/>
        <w:gridCol w:w="7655"/>
        <w:gridCol w:w="2409"/>
        <w:gridCol w:w="992"/>
        <w:gridCol w:w="1275"/>
        <w:gridCol w:w="1418"/>
      </w:tblGrid>
      <w:tr>
        <w:trPr>
          <w:trHeight w:val="785" w:hRule="atLeast"/>
          <w:cantSplit w:val="true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Статус</w:t>
            </w:r>
            <w:r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Годы реализации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Значение целевого показателя</w:t>
            </w:r>
          </w:p>
        </w:tc>
      </w:tr>
    </w:tbl>
    <w:p>
      <w:pPr>
        <w:pStyle w:val="Normal"/>
        <w:suppressAutoHyphens w:val="true"/>
        <w:spacing w:before="0" w:after="0"/>
        <w:jc w:val="right"/>
        <w:rPr>
          <w:rFonts w:ascii="Times New Roman" w:hAnsi="Times New Roman"/>
          <w:sz w:val="2"/>
        </w:rPr>
      </w:pPr>
      <w:r>
        <w:rPr>
          <w:rFonts w:ascii="Times New Roman" w:hAnsi="Times New Roman"/>
          <w:sz w:val="2"/>
        </w:rPr>
      </w:r>
    </w:p>
    <w:tbl>
      <w:tblPr>
        <w:tblW w:w="14424" w:type="dxa"/>
        <w:jc w:val="left"/>
        <w:tblInd w:w="28" w:type="dxa"/>
        <w:tblLayout w:type="fixed"/>
        <w:tblCellMar>
          <w:top w:w="0" w:type="dxa"/>
          <w:left w:w="28" w:type="dxa"/>
          <w:bottom w:w="0" w:type="dxa"/>
          <w:right w:w="28" w:type="dxa"/>
        </w:tblCellMar>
        <w:tblLook w:val="0000" w:noHBand="0" w:noVBand="0" w:firstColumn="0" w:lastRow="0" w:lastColumn="0" w:firstRow="0"/>
      </w:tblPr>
      <w:tblGrid>
        <w:gridCol w:w="676"/>
        <w:gridCol w:w="7655"/>
        <w:gridCol w:w="2407"/>
        <w:gridCol w:w="994"/>
        <w:gridCol w:w="1275"/>
        <w:gridCol w:w="1416"/>
      </w:tblGrid>
      <w:tr>
        <w:trPr>
          <w:tblHeader w:val="true"/>
          <w:trHeight w:val="267" w:hRule="atLeast"/>
          <w:cantSplit w:val="true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>
        <w:trPr>
          <w:trHeight w:val="206" w:hRule="atLeast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3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/>
              <w:tabs>
                <w:tab w:val="clear" w:pos="708"/>
                <w:tab w:val="left" w:pos="5738" w:leader="none"/>
              </w:tabs>
              <w:suppressAutoHyphens w:val="true"/>
              <w:ind w:left="109" w:right="11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Цель: обеспечение доступа к информации о деятельности органов местного самоуправления муниципального образования Туапсинский муниципальный округ Краснодарского края</w:t>
            </w:r>
          </w:p>
        </w:tc>
      </w:tr>
      <w:tr>
        <w:trPr>
          <w:trHeight w:val="206" w:hRule="atLeast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/>
              <w:tabs>
                <w:tab w:val="clear" w:pos="708"/>
                <w:tab w:val="left" w:pos="5738" w:leader="none"/>
              </w:tabs>
              <w:suppressAutoHyphens w:val="true"/>
              <w:ind w:left="109" w:right="116"/>
              <w:jc w:val="both"/>
              <w:rPr>
                <w:rFonts w:ascii="Times New Roman" w:hAnsi="Times New Roman" w:cs="Times New Roman"/>
                <w:bCs/>
                <w:sz w:val="22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Задача: комплексное информирование населения о деятельности органов местного самоуправления муниципального образования Туапсинский муниципальный округ Краснодарского края с использованием средств массовой информации, информационно-телекоммуникационной сети «Интернет»</w:t>
            </w:r>
          </w:p>
        </w:tc>
      </w:tr>
      <w:tr>
        <w:trPr>
          <w:trHeight w:val="206" w:hRule="atLeast"/>
        </w:trPr>
        <w:tc>
          <w:tcPr>
            <w:tcW w:w="67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1.1</w:t>
            </w:r>
          </w:p>
        </w:tc>
        <w:tc>
          <w:tcPr>
            <w:tcW w:w="765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ind w:left="109" w:right="11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Информационное освещение деятельности администрации муниципального образования Туапсинский муниципальный округ Краснодарского края</w:t>
            </w:r>
          </w:p>
        </w:tc>
        <w:tc>
          <w:tcPr>
            <w:tcW w:w="240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кв. см в год</w:t>
            </w:r>
          </w:p>
        </w:tc>
        <w:tc>
          <w:tcPr>
            <w:tcW w:w="99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109" w:right="11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249 650</w:t>
            </w:r>
          </w:p>
        </w:tc>
      </w:tr>
      <w:tr>
        <w:trPr>
          <w:trHeight w:val="206" w:hRule="atLeast"/>
        </w:trPr>
        <w:tc>
          <w:tcPr>
            <w:tcW w:w="67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765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ind w:left="109" w:right="11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40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99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109" w:right="11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249 650</w:t>
            </w:r>
          </w:p>
        </w:tc>
      </w:tr>
      <w:tr>
        <w:trPr>
          <w:trHeight w:val="206" w:hRule="atLeast"/>
        </w:trPr>
        <w:tc>
          <w:tcPr>
            <w:tcW w:w="67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765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ind w:left="109" w:right="11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40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99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109" w:right="11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249 650</w:t>
            </w:r>
          </w:p>
        </w:tc>
      </w:tr>
      <w:tr>
        <w:trPr>
          <w:trHeight w:val="206" w:hRule="atLeast"/>
        </w:trPr>
        <w:tc>
          <w:tcPr>
            <w:tcW w:w="67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765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ind w:left="109" w:right="11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40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99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109" w:right="11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249 650</w:t>
            </w:r>
          </w:p>
        </w:tc>
      </w:tr>
      <w:tr>
        <w:trPr>
          <w:trHeight w:val="206" w:hRule="atLeast"/>
        </w:trPr>
        <w:tc>
          <w:tcPr>
            <w:tcW w:w="67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765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ind w:left="109" w:right="11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40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99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109" w:right="11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249 650</w:t>
            </w:r>
          </w:p>
        </w:tc>
      </w:tr>
      <w:tr>
        <w:trPr>
          <w:trHeight w:val="206" w:hRule="atLeast"/>
        </w:trPr>
        <w:tc>
          <w:tcPr>
            <w:tcW w:w="67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765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ind w:left="109" w:right="11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40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99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2031</w:t>
            </w:r>
          </w:p>
        </w:tc>
        <w:tc>
          <w:tcPr>
            <w:tcW w:w="14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109" w:right="11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249 650</w:t>
            </w:r>
          </w:p>
        </w:tc>
      </w:tr>
      <w:tr>
        <w:trPr>
          <w:trHeight w:val="206" w:hRule="atLeast"/>
        </w:trPr>
        <w:tc>
          <w:tcPr>
            <w:tcW w:w="67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1.2</w:t>
            </w:r>
          </w:p>
        </w:tc>
        <w:tc>
          <w:tcPr>
            <w:tcW w:w="76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ind w:left="109" w:right="11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Информационное освещение деятельности администрации муниципального образования Туапсинский муниципальный округ Краснодарского края в теле- и радиоэфире</w:t>
            </w:r>
          </w:p>
        </w:tc>
        <w:tc>
          <w:tcPr>
            <w:tcW w:w="24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мин. в год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109" w:right="11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3267</w:t>
            </w:r>
          </w:p>
        </w:tc>
      </w:tr>
      <w:tr>
        <w:trPr>
          <w:trHeight w:val="206" w:hRule="atLeast"/>
        </w:trPr>
        <w:tc>
          <w:tcPr>
            <w:tcW w:w="67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76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ind w:left="109" w:right="11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4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9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109" w:right="11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3282</w:t>
            </w:r>
          </w:p>
        </w:tc>
      </w:tr>
      <w:tr>
        <w:trPr>
          <w:trHeight w:val="206" w:hRule="atLeast"/>
        </w:trPr>
        <w:tc>
          <w:tcPr>
            <w:tcW w:w="67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76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ind w:left="109" w:right="11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4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9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109" w:right="11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3297</w:t>
            </w:r>
          </w:p>
        </w:tc>
      </w:tr>
      <w:tr>
        <w:trPr>
          <w:trHeight w:val="206" w:hRule="atLeast"/>
        </w:trPr>
        <w:tc>
          <w:tcPr>
            <w:tcW w:w="67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76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ind w:left="109" w:right="11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4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9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109" w:right="11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3312</w:t>
            </w:r>
          </w:p>
        </w:tc>
      </w:tr>
      <w:tr>
        <w:trPr>
          <w:trHeight w:val="233" w:hRule="atLeast"/>
        </w:trPr>
        <w:tc>
          <w:tcPr>
            <w:tcW w:w="67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76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ind w:left="109" w:right="11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4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9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109" w:right="11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3327</w:t>
            </w:r>
          </w:p>
        </w:tc>
      </w:tr>
      <w:tr>
        <w:trPr>
          <w:trHeight w:val="233" w:hRule="atLeast"/>
        </w:trPr>
        <w:tc>
          <w:tcPr>
            <w:tcW w:w="67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76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ind w:left="109" w:right="11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4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9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2031</w:t>
            </w:r>
          </w:p>
        </w:tc>
        <w:tc>
          <w:tcPr>
            <w:tcW w:w="14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109" w:right="11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3342</w:t>
            </w:r>
          </w:p>
        </w:tc>
      </w:tr>
      <w:tr>
        <w:trPr>
          <w:trHeight w:val="177" w:hRule="atLeast"/>
        </w:trPr>
        <w:tc>
          <w:tcPr>
            <w:tcW w:w="67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1.3</w:t>
            </w:r>
          </w:p>
        </w:tc>
        <w:tc>
          <w:tcPr>
            <w:tcW w:w="765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ind w:left="109" w:right="11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Охват населения с помощью ежедневных публикаций, телесюжетов в средствах массовой информации и сети «Интернет» о событиях и жизни Туапсинского округа;</w:t>
            </w:r>
          </w:p>
        </w:tc>
        <w:tc>
          <w:tcPr>
            <w:tcW w:w="240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чел. в год</w:t>
            </w:r>
          </w:p>
        </w:tc>
        <w:tc>
          <w:tcPr>
            <w:tcW w:w="99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4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109" w:right="11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299050</w:t>
            </w:r>
          </w:p>
        </w:tc>
      </w:tr>
      <w:tr>
        <w:trPr>
          <w:trHeight w:val="237" w:hRule="atLeast"/>
        </w:trPr>
        <w:tc>
          <w:tcPr>
            <w:tcW w:w="67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765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ind w:left="109" w:right="11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40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99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14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109" w:right="11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299065</w:t>
            </w:r>
          </w:p>
        </w:tc>
      </w:tr>
      <w:tr>
        <w:trPr>
          <w:trHeight w:val="237" w:hRule="atLeast"/>
        </w:trPr>
        <w:tc>
          <w:tcPr>
            <w:tcW w:w="67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765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ind w:left="109" w:right="11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40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99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14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109" w:right="11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299080</w:t>
            </w:r>
          </w:p>
        </w:tc>
      </w:tr>
      <w:tr>
        <w:trPr>
          <w:trHeight w:val="237" w:hRule="atLeast"/>
        </w:trPr>
        <w:tc>
          <w:tcPr>
            <w:tcW w:w="67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765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ind w:left="109" w:right="11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40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99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2029</w:t>
            </w:r>
          </w:p>
        </w:tc>
        <w:tc>
          <w:tcPr>
            <w:tcW w:w="14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109" w:right="11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299090</w:t>
            </w:r>
          </w:p>
        </w:tc>
      </w:tr>
      <w:tr>
        <w:trPr>
          <w:trHeight w:val="237" w:hRule="atLeast"/>
        </w:trPr>
        <w:tc>
          <w:tcPr>
            <w:tcW w:w="67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765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ind w:left="109" w:right="11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40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99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</w:t>
            </w:r>
          </w:p>
        </w:tc>
        <w:tc>
          <w:tcPr>
            <w:tcW w:w="14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109" w:right="11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299105</w:t>
            </w:r>
          </w:p>
        </w:tc>
      </w:tr>
      <w:tr>
        <w:trPr>
          <w:trHeight w:val="250" w:hRule="atLeast"/>
        </w:trPr>
        <w:tc>
          <w:tcPr>
            <w:tcW w:w="67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765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ind w:left="109" w:right="11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40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99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ind w:left="109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2031</w:t>
            </w:r>
          </w:p>
        </w:tc>
        <w:tc>
          <w:tcPr>
            <w:tcW w:w="14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109" w:right="11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299120</w:t>
            </w:r>
          </w:p>
        </w:tc>
      </w:tr>
      <w:tr>
        <w:trPr>
          <w:trHeight w:val="294" w:hRule="atLeast"/>
          <w:cantSplit w:val="true"/>
        </w:trPr>
        <w:tc>
          <w:tcPr>
            <w:tcW w:w="14423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53" w:left="86" w:right="145"/>
              <w:jc w:val="center"/>
              <w:rPr>
                <w:rFonts w:ascii="Times New Roman" w:hAnsi="Times New Roman"/>
                <w:bCs/>
                <w:sz w:val="12"/>
                <w:szCs w:val="24"/>
              </w:rPr>
            </w:pPr>
            <w:r>
              <w:rPr>
                <w:rFonts w:ascii="Times New Roman" w:hAnsi="Times New Roman"/>
                <w:bCs/>
                <w:sz w:val="12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firstLine="653" w:left="86" w:right="14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*Если целевой показатель определяется на основе данных государственного статистического наблюдения, первичных и административных данных, присваивается статус «1»;</w:t>
            </w:r>
          </w:p>
          <w:p>
            <w:pPr>
              <w:pStyle w:val="BodyText"/>
              <w:ind w:firstLine="653" w:left="86" w:right="145"/>
              <w:jc w:val="both"/>
              <w:rPr/>
            </w:pPr>
            <w:r>
              <w:rPr/>
              <w:t>если целевой показатель рассчитывается по методике, утвержденной правовым актом Российской Федерации, Краснодарского края, муниципальными правовыми актами, присваивается статус «2»;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653" w:left="86" w:right="14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если целевой показатель рассчитывается по методике, включенной в состав муниципальной программы, присваивается статус «3».</w:t>
            </w:r>
          </w:p>
        </w:tc>
      </w:tr>
    </w:tbl>
    <w:p>
      <w:pPr>
        <w:pStyle w:val="Normal"/>
        <w:suppressAutoHyphens w:val="true"/>
        <w:spacing w:before="0" w:after="0"/>
        <w:rPr>
          <w:rFonts w:ascii="Times New Roman" w:hAnsi="Times New Roman"/>
          <w:sz w:val="2"/>
        </w:rPr>
      </w:pPr>
      <w:r>
        <w:rPr>
          <w:rFonts w:ascii="Times New Roman" w:hAnsi="Times New Roman"/>
          <w:sz w:val="2"/>
        </w:rPr>
      </w:r>
    </w:p>
    <w:p>
      <w:pPr>
        <w:pStyle w:val="Normal"/>
        <w:suppressAutoHyphens w:val="true"/>
        <w:spacing w:before="0" w:after="0"/>
        <w:rPr>
          <w:rFonts w:ascii="Times New Roman" w:hAnsi="Times New Roman"/>
          <w:sz w:val="2"/>
        </w:rPr>
      </w:pPr>
      <w:r>
        <w:rPr>
          <w:rFonts w:ascii="Times New Roman" w:hAnsi="Times New Roman"/>
          <w:sz w:val="2"/>
        </w:rPr>
      </w:r>
    </w:p>
    <w:p>
      <w:pPr>
        <w:pStyle w:val="ConsPlusNormal1"/>
        <w:suppressAutoHyphens w:val="true"/>
        <w:ind w:firstLine="709"/>
        <w:jc w:val="center"/>
        <w:rPr>
          <w:rFonts w:ascii="Times New Roman" w:hAnsi="Times New Roman"/>
          <w:b/>
          <w:bCs/>
          <w:sz w:val="28"/>
          <w:szCs w:val="24"/>
        </w:rPr>
      </w:pPr>
      <w:r>
        <w:rPr>
          <w:rFonts w:ascii="Times New Roman" w:hAnsi="Times New Roman"/>
          <w:b/>
          <w:bCs/>
          <w:sz w:val="28"/>
          <w:szCs w:val="24"/>
        </w:rPr>
      </w:r>
    </w:p>
    <w:p>
      <w:pPr>
        <w:pStyle w:val="ConsPlusNormal1"/>
        <w:suppressAutoHyphens w:val="true"/>
        <w:ind w:firstLine="709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</w:r>
    </w:p>
    <w:p>
      <w:pPr>
        <w:pStyle w:val="ConsPlusNormal1"/>
        <w:suppressAutoHyphens w:val="true"/>
        <w:ind w:firstLine="709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b/>
          <w:bCs/>
          <w:sz w:val="28"/>
          <w:szCs w:val="24"/>
        </w:rPr>
        <w:t>СВЕДЕНИЯ</w:t>
      </w:r>
    </w:p>
    <w:p>
      <w:pPr>
        <w:pStyle w:val="ConsPlusNormal1"/>
        <w:suppressAutoHyphens w:val="true"/>
        <w:ind w:firstLine="709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b/>
          <w:bCs/>
          <w:sz w:val="28"/>
          <w:szCs w:val="24"/>
        </w:rPr>
        <w:t>о порядке сбора информации и методике расчета целевых</w:t>
      </w:r>
    </w:p>
    <w:p>
      <w:pPr>
        <w:pStyle w:val="ConsPlusNormal1"/>
        <w:suppressAutoHyphens w:val="true"/>
        <w:ind w:firstLine="709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b/>
          <w:bCs/>
          <w:sz w:val="28"/>
          <w:szCs w:val="24"/>
        </w:rPr>
        <w:t>показателей муниципальной программы</w:t>
      </w:r>
    </w:p>
    <w:p>
      <w:pPr>
        <w:pStyle w:val="Normal"/>
        <w:suppressAutoHyphens w:val="true"/>
        <w:spacing w:lineRule="auto" w:line="240" w:before="0"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b/>
          <w:sz w:val="28"/>
          <w:szCs w:val="28"/>
        </w:rPr>
        <w:t>«Информационное обеспечение населения»</w:t>
      </w:r>
    </w:p>
    <w:p>
      <w:pPr>
        <w:pStyle w:val="ConsPlusNormal1"/>
        <w:suppressAutoHyphens w:val="true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tbl>
      <w:tblPr>
        <w:tblStyle w:val="ab"/>
        <w:tblW w:w="1445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702"/>
        <w:gridCol w:w="2411"/>
        <w:gridCol w:w="1276"/>
        <w:gridCol w:w="1418"/>
        <w:gridCol w:w="2694"/>
        <w:gridCol w:w="2408"/>
        <w:gridCol w:w="2284"/>
        <w:gridCol w:w="1259"/>
      </w:tblGrid>
      <w:tr>
        <w:trPr>
          <w:trHeight w:val="1425" w:hRule="atLeast"/>
        </w:trPr>
        <w:tc>
          <w:tcPr>
            <w:tcW w:w="702" w:type="dxa"/>
            <w:tcBorders>
              <w:bottom w:val="nil"/>
            </w:tcBorders>
          </w:tcPr>
          <w:p>
            <w:pPr>
              <w:pStyle w:val="ConsPlusNormal1"/>
              <w:suppressAutoHyphens w:val="true"/>
              <w:spacing w:before="0" w:after="0"/>
              <w:ind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п/п*</w:t>
            </w:r>
          </w:p>
        </w:tc>
        <w:tc>
          <w:tcPr>
            <w:tcW w:w="2411" w:type="dxa"/>
            <w:tcBorders>
              <w:bottom w:val="nil"/>
            </w:tcBorders>
          </w:tcPr>
          <w:p>
            <w:pPr>
              <w:pStyle w:val="ConsPlusNormal1"/>
              <w:suppressAutoHyphens w:val="true"/>
              <w:spacing w:before="0" w:after="0"/>
              <w:ind w:hanging="0" w:left="-125" w:right="-14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Наименование целевого показателя</w:t>
            </w:r>
          </w:p>
        </w:tc>
        <w:tc>
          <w:tcPr>
            <w:tcW w:w="1276" w:type="dxa"/>
            <w:tcBorders>
              <w:bottom w:val="nil"/>
            </w:tcBorders>
          </w:tcPr>
          <w:p>
            <w:pPr>
              <w:pStyle w:val="ConsPlusNormal1"/>
              <w:suppressAutoHyphens w:val="true"/>
              <w:spacing w:before="0" w:after="0"/>
              <w:ind w:hanging="0" w:left="-125" w:right="-14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Единица измерения</w:t>
            </w:r>
          </w:p>
        </w:tc>
        <w:tc>
          <w:tcPr>
            <w:tcW w:w="1418" w:type="dxa"/>
            <w:tcBorders>
              <w:bottom w:val="nil"/>
            </w:tcBorders>
          </w:tcPr>
          <w:p>
            <w:pPr>
              <w:pStyle w:val="ConsPlusNormal1"/>
              <w:suppressAutoHyphens w:val="true"/>
              <w:spacing w:before="0" w:after="0"/>
              <w:ind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Тенденция развития целевого показателя</w:t>
            </w:r>
          </w:p>
        </w:tc>
        <w:tc>
          <w:tcPr>
            <w:tcW w:w="2694" w:type="dxa"/>
            <w:tcBorders>
              <w:bottom w:val="nil"/>
            </w:tcBorders>
          </w:tcPr>
          <w:p>
            <w:pPr>
              <w:pStyle w:val="ConsPlusNormal1"/>
              <w:suppressAutoHyphens w:val="true"/>
              <w:spacing w:before="0" w:after="0"/>
              <w:ind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Методика расчета целевого показателя (формула), алгоритм формирования формул, методологические пояснения к базовым показателям, используемым в формуле</w:t>
            </w:r>
          </w:p>
        </w:tc>
        <w:tc>
          <w:tcPr>
            <w:tcW w:w="2408" w:type="dxa"/>
            <w:tcBorders>
              <w:bottom w:val="nil"/>
            </w:tcBorders>
          </w:tcPr>
          <w:p>
            <w:pPr>
              <w:pStyle w:val="ConsPlusNormal1"/>
              <w:suppressAutoHyphens w:val="true"/>
              <w:spacing w:before="0" w:after="0"/>
              <w:ind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Источник исходных данных для расчета значения (формирования данных) целевого показателя</w:t>
            </w:r>
          </w:p>
        </w:tc>
        <w:tc>
          <w:tcPr>
            <w:tcW w:w="2284" w:type="dxa"/>
            <w:tcBorders>
              <w:bottom w:val="nil"/>
            </w:tcBorders>
          </w:tcPr>
          <w:p>
            <w:pPr>
              <w:pStyle w:val="ConsPlusNormal1"/>
              <w:suppressAutoHyphens w:val="true"/>
              <w:spacing w:before="0" w:after="0"/>
              <w:ind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Ответственный за сбор данных и расчет целевого показателя</w:t>
            </w:r>
          </w:p>
        </w:tc>
        <w:tc>
          <w:tcPr>
            <w:tcW w:w="1259" w:type="dxa"/>
            <w:tcBorders>
              <w:bottom w:val="nil"/>
            </w:tcBorders>
          </w:tcPr>
          <w:p>
            <w:pPr>
              <w:pStyle w:val="ConsPlusNormal1"/>
              <w:suppressAutoHyphens w:val="true"/>
              <w:spacing w:before="0" w:after="0"/>
              <w:ind w:hanging="0" w:left="-102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Временные характерис-тики целе-вого пока-зателя</w:t>
            </w:r>
          </w:p>
        </w:tc>
      </w:tr>
    </w:tbl>
    <w:p>
      <w:pPr>
        <w:pStyle w:val="ConsPlusNormal1"/>
        <w:suppressAutoHyphens w:val="true"/>
        <w:ind w:firstLine="709"/>
        <w:rPr>
          <w:rFonts w:ascii="Times New Roman" w:hAnsi="Times New Roman"/>
          <w:sz w:val="2"/>
          <w:szCs w:val="24"/>
        </w:rPr>
      </w:pPr>
      <w:r>
        <w:rPr>
          <w:rFonts w:ascii="Times New Roman" w:hAnsi="Times New Roman"/>
          <w:sz w:val="2"/>
          <w:szCs w:val="24"/>
        </w:rPr>
      </w:r>
    </w:p>
    <w:tbl>
      <w:tblPr>
        <w:tblStyle w:val="ab"/>
        <w:tblW w:w="1445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702"/>
        <w:gridCol w:w="2411"/>
        <w:gridCol w:w="1276"/>
        <w:gridCol w:w="1418"/>
        <w:gridCol w:w="2694"/>
        <w:gridCol w:w="2408"/>
        <w:gridCol w:w="2284"/>
        <w:gridCol w:w="1259"/>
      </w:tblGrid>
      <w:tr>
        <w:trPr>
          <w:tblHeader w:val="true"/>
        </w:trPr>
        <w:tc>
          <w:tcPr>
            <w:tcW w:w="702" w:type="dxa"/>
            <w:tcBorders/>
          </w:tcPr>
          <w:p>
            <w:pPr>
              <w:pStyle w:val="ConsPlusNormal1"/>
              <w:suppressAutoHyphens w:val="true"/>
              <w:spacing w:before="0" w:after="0"/>
              <w:ind w:hanging="0" w:lef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2411" w:type="dxa"/>
            <w:tcBorders/>
          </w:tcPr>
          <w:p>
            <w:pPr>
              <w:pStyle w:val="ConsPlusNormal1"/>
              <w:suppressAutoHyphens w:val="true"/>
              <w:spacing w:before="0" w:after="0"/>
              <w:ind w:firstLine="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2</w:t>
            </w:r>
          </w:p>
        </w:tc>
        <w:tc>
          <w:tcPr>
            <w:tcW w:w="1276" w:type="dxa"/>
            <w:tcBorders/>
          </w:tcPr>
          <w:p>
            <w:pPr>
              <w:pStyle w:val="ConsPlusNormal1"/>
              <w:suppressAutoHyphens w:val="true"/>
              <w:spacing w:before="0" w:after="0"/>
              <w:ind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3</w:t>
            </w:r>
          </w:p>
        </w:tc>
        <w:tc>
          <w:tcPr>
            <w:tcW w:w="1418" w:type="dxa"/>
            <w:tcBorders/>
          </w:tcPr>
          <w:p>
            <w:pPr>
              <w:pStyle w:val="ConsPlusNormal1"/>
              <w:suppressAutoHyphens w:val="true"/>
              <w:spacing w:before="0" w:after="0"/>
              <w:ind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4</w:t>
            </w:r>
          </w:p>
        </w:tc>
        <w:tc>
          <w:tcPr>
            <w:tcW w:w="2694" w:type="dxa"/>
            <w:tcBorders/>
          </w:tcPr>
          <w:p>
            <w:pPr>
              <w:pStyle w:val="ConsPlusNormal1"/>
              <w:suppressAutoHyphens w:val="true"/>
              <w:spacing w:before="0" w:after="0"/>
              <w:ind w:hanging="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5</w:t>
            </w:r>
          </w:p>
        </w:tc>
        <w:tc>
          <w:tcPr>
            <w:tcW w:w="2408" w:type="dxa"/>
            <w:tcBorders/>
          </w:tcPr>
          <w:p>
            <w:pPr>
              <w:pStyle w:val="ConsPlusNormal1"/>
              <w:suppressAutoHyphens w:val="true"/>
              <w:spacing w:before="0" w:after="0"/>
              <w:ind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6</w:t>
            </w:r>
          </w:p>
        </w:tc>
        <w:tc>
          <w:tcPr>
            <w:tcW w:w="2284" w:type="dxa"/>
            <w:tcBorders/>
          </w:tcPr>
          <w:p>
            <w:pPr>
              <w:pStyle w:val="ConsPlusNormal1"/>
              <w:suppressAutoHyphens w:val="true"/>
              <w:spacing w:before="0" w:after="0"/>
              <w:ind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7</w:t>
            </w:r>
          </w:p>
        </w:tc>
        <w:tc>
          <w:tcPr>
            <w:tcW w:w="1259" w:type="dxa"/>
            <w:tcBorders/>
          </w:tcPr>
          <w:p>
            <w:pPr>
              <w:pStyle w:val="ConsPlusNormal1"/>
              <w:suppressAutoHyphens w:val="true"/>
              <w:spacing w:before="0" w:after="0"/>
              <w:ind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8</w:t>
            </w:r>
          </w:p>
        </w:tc>
      </w:tr>
      <w:tr>
        <w:trPr>
          <w:trHeight w:val="144" w:hRule="atLeast"/>
        </w:trPr>
        <w:tc>
          <w:tcPr>
            <w:tcW w:w="70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10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eastAsia="Calibri" w:ascii="Times New Roman" w:hAnsi="Times New Roman"/>
                <w:bCs/>
                <w:kern w:val="0"/>
                <w:sz w:val="24"/>
                <w:szCs w:val="24"/>
                <w:lang w:val="ru-RU" w:eastAsia="en-US" w:bidi="ar-SA"/>
              </w:rPr>
              <w:t>1.1</w:t>
            </w:r>
          </w:p>
        </w:tc>
        <w:tc>
          <w:tcPr>
            <w:tcW w:w="241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Информационное освещение деятельности администрации муниципального образования Туапсинский муниципальный округ в печатных СМИ</w:t>
            </w:r>
          </w:p>
        </w:tc>
        <w:tc>
          <w:tcPr>
            <w:tcW w:w="127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кв. см. в год</w:t>
            </w:r>
          </w:p>
        </w:tc>
        <w:tc>
          <w:tcPr>
            <w:tcW w:w="1418" w:type="dxa"/>
            <w:tcBorders/>
          </w:tcPr>
          <w:p>
            <w:pPr>
              <w:pStyle w:val="ConsPlusNormal1"/>
              <w:suppressAutoHyphens w:val="true"/>
              <w:spacing w:before="0" w:after="0"/>
              <w:ind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увеличение значений</w:t>
            </w:r>
          </w:p>
        </w:tc>
        <w:tc>
          <w:tcPr>
            <w:tcW w:w="2694" w:type="dxa"/>
            <w:tcBorders/>
          </w:tcPr>
          <w:p>
            <w:pPr>
              <w:pStyle w:val="ConsPlusNormal1"/>
              <w:suppressAutoHyphens w:val="true"/>
              <w:spacing w:before="0" w:after="0"/>
              <w:ind w:hanging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/>
            </w:r>
            <m:oMathPara xmlns:m="http://schemas.openxmlformats.org/officeDocument/2006/math">
              <m:oMathParaPr>
                <m:jc m:val="left"/>
              </m:oMathParaPr>
              <m:oMath>
                <m:sSub>
                  <m:e>
                    <m:r>
                      <w:rPr>
                        <w:rFonts w:ascii="Cambria Math" w:hAnsi="Cambria Math"/>
                      </w:rPr>
                      <m:t xml:space="preserve">ИО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 xml:space="preserve">сми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=</m:t>
                </m:r>
                <m:nary>
                  <m:naryPr>
                    <m:chr m:val="∑"/>
                  </m:naryPr>
                  <m:sub>
                    <m:r>
                      <w:rPr>
                        <w:rFonts w:ascii="Cambria Math" w:hAnsi="Cambria Math"/>
                      </w:rPr>
                      <m:t xml:space="preserve">1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 xml:space="preserve">n</m:t>
                    </m:r>
                  </m:sup>
                  <m:e>
                    <m:sSub>
                      <m:e>
                        <m:r>
                          <w:rPr>
                            <w:rFonts w:ascii="Cambria Math" w:hAnsi="Cambria Math"/>
                          </w:rPr>
                          <m:t xml:space="preserve">А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 xml:space="preserve">n</m:t>
                        </m:r>
                      </m:sub>
                    </m:sSub>
                  </m:e>
                </m:nary>
              </m:oMath>
            </m:oMathPara>
          </w:p>
          <w:p>
            <w:pPr>
              <w:pStyle w:val="ConsPlusNormal1"/>
              <w:suppressAutoHyphens w:val="true"/>
              <w:spacing w:before="0" w:after="0"/>
              <w:ind w:hanging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где:</w:t>
            </w:r>
          </w:p>
          <w:p>
            <w:pPr>
              <w:pStyle w:val="ConsPlusNormal1"/>
              <w:suppressAutoHyphens w:val="true"/>
              <w:spacing w:before="0" w:after="0"/>
              <w:ind w:hanging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А</w:t>
            </w:r>
            <w:r>
              <w:rPr>
                <w:rFonts w:ascii="Times New Roman" w:hAnsi="Times New Roman"/>
                <w:kern w:val="0"/>
                <w:sz w:val="24"/>
                <w:szCs w:val="24"/>
                <w:vertAlign w:val="subscript"/>
                <w:lang w:val="en-US" w:bidi="ar-SA"/>
              </w:rPr>
              <w:t>n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 xml:space="preserve"> – количество кв. см. согласно 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val="en-US" w:bidi="ar-SA"/>
              </w:rPr>
              <w:t>n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-ному акту приема-передачи услуг, предоставленному</w:t>
            </w:r>
          </w:p>
          <w:p>
            <w:pPr>
              <w:pStyle w:val="ConsPlusNormal1"/>
              <w:suppressAutoHyphens w:val="true"/>
              <w:spacing w:before="0" w:after="0"/>
              <w:ind w:hanging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en-US" w:bidi="ar-SA"/>
              </w:rPr>
              <w:t>n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-ным исполнителем муниципального контракта на оказание услуг по размещению и информированию граждан в СМИ</w:t>
            </w:r>
          </w:p>
        </w:tc>
        <w:tc>
          <w:tcPr>
            <w:tcW w:w="2408" w:type="dxa"/>
            <w:tcBorders/>
          </w:tcPr>
          <w:p>
            <w:pPr>
              <w:pStyle w:val="ConsPlusNormal1"/>
              <w:suppressAutoHyphens w:val="true"/>
              <w:spacing w:before="0" w:after="0"/>
              <w:ind w:hanging="0" w:right="-109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акты приема-передачи услуг, предоставляемые исполнителями муниципальных контрактов на оказание услуг по организации и осуществлению информирования граждан</w:t>
            </w:r>
          </w:p>
        </w:tc>
        <w:tc>
          <w:tcPr>
            <w:tcW w:w="2284" w:type="dxa"/>
            <w:tcBorders/>
          </w:tcPr>
          <w:p>
            <w:pPr>
              <w:pStyle w:val="ConsPlusNormal1"/>
              <w:suppressAutoHyphens w:val="true"/>
              <w:spacing w:before="0" w:after="0"/>
              <w:ind w:hanging="0" w:right="-43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lang w:val="ru-RU" w:bidi="ar-SA"/>
              </w:rPr>
              <w:t>отдел по взаимодействию со СМИ администра-ции муниципаль-ного образования Туапсинский муниципальный округ</w:t>
            </w:r>
          </w:p>
        </w:tc>
        <w:tc>
          <w:tcPr>
            <w:tcW w:w="1259" w:type="dxa"/>
            <w:tcBorders/>
          </w:tcPr>
          <w:p>
            <w:pPr>
              <w:pStyle w:val="ConsPlusNormal1"/>
              <w:suppressAutoHyphens w:val="true"/>
              <w:spacing w:before="0" w:after="0"/>
              <w:ind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ежегодно</w:t>
            </w:r>
          </w:p>
        </w:tc>
      </w:tr>
      <w:tr>
        <w:trPr>
          <w:trHeight w:val="144" w:hRule="atLeast"/>
        </w:trPr>
        <w:tc>
          <w:tcPr>
            <w:tcW w:w="70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10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eastAsia="Calibri" w:ascii="Times New Roman" w:hAnsi="Times New Roman"/>
                <w:bCs/>
                <w:kern w:val="0"/>
                <w:sz w:val="24"/>
                <w:szCs w:val="24"/>
                <w:lang w:val="ru-RU" w:eastAsia="en-US" w:bidi="ar-SA"/>
              </w:rPr>
              <w:t>1.2</w:t>
            </w:r>
          </w:p>
        </w:tc>
        <w:tc>
          <w:tcPr>
            <w:tcW w:w="241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Информационное освещение деятельности администрации муниципального образования Туапсинский муниципальный округ в теле- и радиоэфире</w:t>
            </w:r>
          </w:p>
        </w:tc>
        <w:tc>
          <w:tcPr>
            <w:tcW w:w="127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мин. в год</w:t>
            </w:r>
          </w:p>
        </w:tc>
        <w:tc>
          <w:tcPr>
            <w:tcW w:w="1418" w:type="dxa"/>
            <w:tcBorders/>
          </w:tcPr>
          <w:p>
            <w:pPr>
              <w:pStyle w:val="ConsPlusNormal1"/>
              <w:suppressAutoHyphens w:val="true"/>
              <w:spacing w:before="0" w:after="0"/>
              <w:ind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увеличение значений</w:t>
            </w:r>
          </w:p>
        </w:tc>
        <w:tc>
          <w:tcPr>
            <w:tcW w:w="2694" w:type="dxa"/>
            <w:tcBorders/>
          </w:tcPr>
          <w:p>
            <w:pPr>
              <w:pStyle w:val="ConsPlusNormal1"/>
              <w:suppressAutoHyphens w:val="true"/>
              <w:spacing w:before="0" w:after="0"/>
              <w:ind w:hanging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/>
            </w:r>
            <m:oMathPara xmlns:m="http://schemas.openxmlformats.org/officeDocument/2006/math">
              <m:oMathParaPr>
                <m:jc m:val="left"/>
              </m:oMathParaPr>
              <m:oMath>
                <m:sSub>
                  <m:e>
                    <m:r>
                      <w:rPr>
                        <w:rFonts w:ascii="Cambria Math" w:hAnsi="Cambria Math"/>
                      </w:rPr>
                      <m:t xml:space="preserve">ИО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 xml:space="preserve">тр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=</m:t>
                </m:r>
                <m:nary>
                  <m:naryPr>
                    <m:chr m:val="∑"/>
                  </m:naryPr>
                  <m:sub>
                    <m:r>
                      <w:rPr>
                        <w:rFonts w:ascii="Cambria Math" w:hAnsi="Cambria Math"/>
                      </w:rPr>
                      <m:t xml:space="preserve">1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 xml:space="preserve">n</m:t>
                    </m:r>
                  </m:sup>
                  <m:e>
                    <m:sSub>
                      <m:e>
                        <m:r>
                          <w:rPr>
                            <w:rFonts w:ascii="Cambria Math" w:hAnsi="Cambria Math"/>
                          </w:rPr>
                          <m:t xml:space="preserve">А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 xml:space="preserve">n</m:t>
                        </m:r>
                      </m:sub>
                    </m:sSub>
                  </m:e>
                </m:nary>
              </m:oMath>
            </m:oMathPara>
          </w:p>
          <w:p>
            <w:pPr>
              <w:pStyle w:val="ConsPlusNormal1"/>
              <w:suppressAutoHyphens w:val="true"/>
              <w:spacing w:before="0" w:after="0"/>
              <w:ind w:hanging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где:</w:t>
            </w:r>
          </w:p>
          <w:p>
            <w:pPr>
              <w:pStyle w:val="ConsPlusNormal1"/>
              <w:suppressAutoHyphens w:val="true"/>
              <w:spacing w:before="0" w:after="0"/>
              <w:ind w:hanging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А</w:t>
            </w:r>
            <w:r>
              <w:rPr>
                <w:rFonts w:ascii="Times New Roman" w:hAnsi="Times New Roman"/>
                <w:kern w:val="0"/>
                <w:sz w:val="24"/>
                <w:szCs w:val="24"/>
                <w:vertAlign w:val="subscript"/>
                <w:lang w:val="en-US" w:bidi="ar-SA"/>
              </w:rPr>
              <w:t>n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 xml:space="preserve"> – количество минут согласно 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val="en-US" w:bidi="ar-SA"/>
              </w:rPr>
              <w:t>n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 xml:space="preserve">-ному акту приема-передачи услуг, предоставленному 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val="en-US" w:bidi="ar-SA"/>
              </w:rPr>
              <w:t>n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-ым исполнителем муници-пального контракта на оказание услуг по раз-мещению и информи-рованию граждан в теле- и радиоэфире</w:t>
            </w:r>
          </w:p>
        </w:tc>
        <w:tc>
          <w:tcPr>
            <w:tcW w:w="2408" w:type="dxa"/>
            <w:tcBorders/>
          </w:tcPr>
          <w:p>
            <w:pPr>
              <w:pStyle w:val="ConsPlusNormal1"/>
              <w:suppressAutoHyphens w:val="true"/>
              <w:spacing w:before="0" w:after="0"/>
              <w:ind w:hanging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акты приема-передачи услуг, предоставляемые исполнителями муниципальных контрактов на оказание услуг по организации и осуществлению информирования граждан</w:t>
            </w:r>
          </w:p>
        </w:tc>
        <w:tc>
          <w:tcPr>
            <w:tcW w:w="2284" w:type="dxa"/>
            <w:tcBorders/>
          </w:tcPr>
          <w:p>
            <w:pPr>
              <w:pStyle w:val="ConsPlusNormal1"/>
              <w:suppressAutoHyphens w:val="true"/>
              <w:spacing w:before="0" w:after="0"/>
              <w:ind w:hanging="0" w:right="-43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lang w:val="ru-RU" w:bidi="ar-SA"/>
              </w:rPr>
              <w:t>отдел по взаимодействию со СМИ администра-ции муниципаль-ного образования Туапсинский муниципальный округ</w:t>
            </w:r>
          </w:p>
        </w:tc>
        <w:tc>
          <w:tcPr>
            <w:tcW w:w="1259" w:type="dxa"/>
            <w:tcBorders/>
          </w:tcPr>
          <w:p>
            <w:pPr>
              <w:pStyle w:val="ConsPlusNormal1"/>
              <w:suppressAutoHyphens w:val="true"/>
              <w:spacing w:before="0" w:after="0"/>
              <w:ind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ежегодно</w:t>
            </w:r>
          </w:p>
        </w:tc>
      </w:tr>
      <w:tr>
        <w:trPr>
          <w:trHeight w:val="144" w:hRule="atLeast"/>
        </w:trPr>
        <w:tc>
          <w:tcPr>
            <w:tcW w:w="702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10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1.3</w:t>
            </w:r>
          </w:p>
        </w:tc>
        <w:tc>
          <w:tcPr>
            <w:tcW w:w="2411" w:type="dxa"/>
            <w:tcBorders>
              <w:top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Охват населения с помощью ежедневных публикаций, телесюжетов в средствах массовой информации и сети «Интернет» о событиях и жизни Туапсинского округа;</w:t>
            </w:r>
          </w:p>
        </w:tc>
        <w:tc>
          <w:tcPr>
            <w:tcW w:w="1276" w:type="dxa"/>
            <w:tcBorders>
              <w:top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чел. в год</w:t>
            </w:r>
          </w:p>
        </w:tc>
        <w:tc>
          <w:tcPr>
            <w:tcW w:w="1418" w:type="dxa"/>
            <w:tcBorders>
              <w:top w:val="nil"/>
            </w:tcBorders>
          </w:tcPr>
          <w:p>
            <w:pPr>
              <w:pStyle w:val="ConsPlusNormal1"/>
              <w:suppressAutoHyphens w:val="true"/>
              <w:spacing w:before="0" w:after="0"/>
              <w:ind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увеличение значений</w:t>
            </w:r>
          </w:p>
        </w:tc>
        <w:tc>
          <w:tcPr>
            <w:tcW w:w="2694" w:type="dxa"/>
            <w:tcBorders>
              <w:top w:val="nil"/>
            </w:tcBorders>
          </w:tcPr>
          <w:p>
            <w:pPr>
              <w:pStyle w:val="ConsPlusNormal1"/>
              <w:suppressAutoHyphens w:val="true"/>
              <w:spacing w:before="0" w:after="0"/>
              <w:ind w:hanging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ОН=А+В+С</w:t>
            </w:r>
          </w:p>
          <w:p>
            <w:pPr>
              <w:pStyle w:val="ConsPlusNormal1"/>
              <w:suppressAutoHyphens w:val="true"/>
              <w:spacing w:before="0" w:after="0"/>
              <w:ind w:hanging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где:</w:t>
            </w:r>
          </w:p>
          <w:p>
            <w:pPr>
              <w:pStyle w:val="ConsPlusNormal1"/>
              <w:suppressAutoHyphens w:val="true"/>
              <w:spacing w:before="0" w:after="0"/>
              <w:ind w:hanging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 — тираж газет в год;</w:t>
            </w:r>
          </w:p>
          <w:p>
            <w:pPr>
              <w:pStyle w:val="ConsPlusNormal1"/>
              <w:suppressAutoHyphens w:val="true"/>
              <w:spacing w:before="0" w:after="0"/>
              <w:ind w:hanging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— аудитория телерадиоэфира в год;</w:t>
            </w:r>
          </w:p>
          <w:p>
            <w:pPr>
              <w:pStyle w:val="ConsPlusNormal1"/>
              <w:suppressAutoHyphens w:val="true"/>
              <w:spacing w:before="0" w:after="0"/>
              <w:ind w:hanging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— посетители сайта в сети Интернет в год.</w:t>
            </w:r>
          </w:p>
        </w:tc>
        <w:tc>
          <w:tcPr>
            <w:tcW w:w="2408" w:type="dxa"/>
            <w:tcBorders>
              <w:top w:val="nil"/>
            </w:tcBorders>
          </w:tcPr>
          <w:p>
            <w:pPr>
              <w:pStyle w:val="ConsPlusNormal1"/>
              <w:suppressAutoHyphens w:val="true"/>
              <w:spacing w:before="0" w:after="0"/>
              <w:ind w:hanging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акты приема-передачи услуг, предоставляемые исполнителями муниципальных контрактов на оказание услуг по организации и осуществлению информирования граждан</w:t>
            </w:r>
          </w:p>
        </w:tc>
        <w:tc>
          <w:tcPr>
            <w:tcW w:w="2284" w:type="dxa"/>
            <w:tcBorders>
              <w:top w:val="nil"/>
            </w:tcBorders>
          </w:tcPr>
          <w:p>
            <w:pPr>
              <w:pStyle w:val="ConsPlusNormal1"/>
              <w:suppressAutoHyphens w:val="true"/>
              <w:spacing w:before="0" w:after="0"/>
              <w:ind w:hanging="0" w:right="-43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по взаимодействию со СМИ администра-ции муниципаль-ного образования Туапсинский муниципальный округ</w:t>
            </w:r>
          </w:p>
        </w:tc>
        <w:tc>
          <w:tcPr>
            <w:tcW w:w="1259" w:type="dxa"/>
            <w:tcBorders>
              <w:top w:val="nil"/>
            </w:tcBorders>
          </w:tcPr>
          <w:p>
            <w:pPr>
              <w:pStyle w:val="ConsPlusNormal1"/>
              <w:suppressAutoHyphens w:val="true"/>
              <w:spacing w:before="0" w:after="0"/>
              <w:ind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</w:tr>
      <w:tr>
        <w:trPr>
          <w:trHeight w:val="21" w:hRule="atLeast"/>
        </w:trPr>
        <w:tc>
          <w:tcPr>
            <w:tcW w:w="14452" w:type="dxa"/>
            <w:gridSpan w:val="8"/>
            <w:tcBorders/>
          </w:tcPr>
          <w:p>
            <w:pPr>
              <w:pStyle w:val="ConsPlusNormal1"/>
              <w:suppressAutoHyphens w:val="true"/>
              <w:spacing w:before="0"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vertAlign w:val="superscript"/>
                <w:lang w:val="ru-RU" w:bidi="ar-SA"/>
              </w:rPr>
              <w:t xml:space="preserve">* 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Номер целевого показателя указывается в соответствии с нумерацией целевых показателей муниципальной программы, характеризующих ход ее реализации</w:t>
            </w:r>
          </w:p>
        </w:tc>
      </w:tr>
    </w:tbl>
    <w:p>
      <w:pPr>
        <w:pStyle w:val="Normal"/>
        <w:suppressAutoHyphens w:val="true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uppressAutoHyphens w:val="true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uppressAutoHyphens w:val="true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uppressAutoHyphens w:val="true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отдела</w:t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взаимодействию со СМИ </w:t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Туапсинского</w:t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округа </w:t>
        <w:tab/>
        <w:t xml:space="preserve">                                             </w:t>
      </w:r>
      <w:r>
        <w:rPr/>
        <w:t xml:space="preserve">    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Е.Ю. Россиева</w:t>
      </w:r>
    </w:p>
    <w:p>
      <w:pPr>
        <w:pStyle w:val="ConsPlusNormal1"/>
        <w:suppressAutoHyphens w:val="true"/>
        <w:ind w:firstLine="709"/>
        <w:jc w:val="center"/>
        <w:rPr>
          <w:rFonts w:ascii="Times New Roman" w:hAnsi="Times New Roman"/>
          <w:b/>
          <w:bCs/>
          <w:sz w:val="28"/>
          <w:szCs w:val="24"/>
        </w:rPr>
      </w:pPr>
      <w:r>
        <w:rPr>
          <w:rFonts w:ascii="Times New Roman" w:hAnsi="Times New Roman"/>
          <w:b/>
          <w:bCs/>
          <w:sz w:val="28"/>
          <w:szCs w:val="24"/>
        </w:rPr>
      </w:r>
    </w:p>
    <w:sectPr>
      <w:headerReference w:type="even" r:id="rId2"/>
      <w:headerReference w:type="default" r:id="rId3"/>
      <w:headerReference w:type="first" r:id="rId4"/>
      <w:type w:val="nextPage"/>
      <w:pgSz w:orient="landscape" w:w="16838" w:h="11906"/>
      <w:pgMar w:left="1134" w:right="1134" w:gutter="0" w:header="709" w:top="1701" w:footer="0" w:bottom="709"/>
      <w:pgNumType w:fmt="decimal"/>
      <w:formProt w:val="false"/>
      <w:titlePg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Segoe UI">
    <w:charset w:val="01"/>
    <w:family w:val="swiss"/>
    <w:pitch w:val="variable"/>
  </w:font>
  <w:font w:name="Arial">
    <w:charset w:val="01"/>
    <w:family w:val="swiss"/>
    <w:pitch w:val="variable"/>
  </w:font>
  <w:font w:name="Liberation Sans">
    <w:altName w:val="Arial"/>
    <w:charset w:val="01"/>
    <w:family w:val="swiss"/>
    <w:pitch w:val="variable"/>
  </w:font>
  <w:font w:name="Courier New">
    <w:charset w:val="01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  <w:p>
    <w:pPr>
      <w:pStyle w:val="11"/>
      <w:rPr/>
    </w:pPr>
    <w:r>
      <w:rPr/>
      <mc:AlternateContent>
        <mc:Choice Requires="wps">
          <w:drawing>
            <wp:anchor behindDoc="1" distT="635" distB="0" distL="635" distR="0" simplePos="0" locked="0" layoutInCell="0" allowOverlap="1" relativeHeight="6" wp14:anchorId="35D1CEC7">
              <wp:simplePos x="0" y="0"/>
              <wp:positionH relativeFrom="rightMargin">
                <wp:align>left</wp:align>
              </wp:positionH>
              <wp:positionV relativeFrom="margin">
                <wp:posOffset>2806065</wp:posOffset>
              </wp:positionV>
              <wp:extent cx="581025" cy="329565"/>
              <wp:effectExtent l="635" t="635" r="0" b="0"/>
              <wp:wrapNone/>
              <wp:docPr id="1" name="Прямоугольник 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1040" cy="329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user2"/>
                            <w:spacing w:before="0" w:after="200"/>
                            <w:rPr>
                              <w:rFonts w:ascii="Times New Roman" w:hAnsi="Times New Roman"/>
                              <w:sz w:val="24"/>
                            </w:rPr>
                          </w:pPr>
                          <w:r>
                            <w:rPr>
                              <w:rFonts w:ascii="Times New Roman" w:hAnsi="Times New Roman"/>
                              <w:color w:val="00000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rFonts w:ascii="Times New Roman" w:hAnsi="Times New Roman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sz w:val="24"/>
                              <w:rFonts w:ascii="Times New Roman" w:hAnsi="Times New Roman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rFonts w:ascii="Times New Roman" w:hAnsi="Times New Roman"/>
                              <w:color w:val="000000"/>
                            </w:rPr>
                            <w:t>4</w:t>
                          </w:r>
                          <w:r>
                            <w:rPr>
                              <w:sz w:val="24"/>
                              <w:rFonts w:ascii="Times New Roman" w:hAnsi="Times New Roman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vert="ver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Прямоугольник 2" path="m0,0l-2147483645,0l-2147483645,-2147483646l0,-2147483646xe" fillcolor="white" stroked="f" o:allowincell="f" style="position:absolute;margin-left:0.05pt;margin-top:220.95pt;width:45.7pt;height:25.9pt;mso-wrap-style:square;v-text-anchor:top;mso-position-horizontal:left;mso-position-horizontal-relative:page;mso-position-vertical-relative:margin" wp14:anchorId="35D1CEC7">
              <v:fill o:detectmouseclick="t" type="solid" color2="black"/>
              <v:stroke color="#3465a4" joinstyle="round" endcap="flat"/>
              <v:textbox>
                <w:txbxContent>
                  <w:p>
                    <w:pPr>
                      <w:pStyle w:val="user2"/>
                      <w:spacing w:before="0" w:after="200"/>
                      <w:rPr>
                        <w:rFonts w:ascii="Times New Roman" w:hAnsi="Times New Roman"/>
                        <w:sz w:val="24"/>
                      </w:rPr>
                    </w:pPr>
                    <w:r>
                      <w:rPr>
                        <w:rFonts w:ascii="Times New Roman" w:hAnsi="Times New Roman"/>
                        <w:color w:val="000000"/>
                        <w:sz w:val="24"/>
                      </w:rPr>
                      <w:fldChar w:fldCharType="begin"/>
                    </w:r>
                    <w:r>
                      <w:rPr>
                        <w:sz w:val="24"/>
                        <w:rFonts w:ascii="Times New Roman" w:hAnsi="Times New Roman"/>
                        <w:color w:val="000000"/>
                      </w:rPr>
                      <w:instrText xml:space="preserve"> PAGE </w:instrText>
                    </w:r>
                    <w:r>
                      <w:rPr>
                        <w:sz w:val="24"/>
                        <w:rFonts w:ascii="Times New Roman" w:hAnsi="Times New Roman"/>
                        <w:color w:val="000000"/>
                      </w:rPr>
                      <w:fldChar w:fldCharType="separate"/>
                    </w:r>
                    <w:r>
                      <w:rPr>
                        <w:sz w:val="24"/>
                        <w:rFonts w:ascii="Times New Roman" w:hAnsi="Times New Roman"/>
                        <w:color w:val="000000"/>
                      </w:rPr>
                      <w:t>4</w:t>
                    </w:r>
                    <w:r>
                      <w:rPr>
                        <w:sz w:val="24"/>
                        <w:rFonts w:ascii="Times New Roman" w:hAnsi="Times New Roman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2666e7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next w:val="Normal"/>
    <w:link w:val="1"/>
    <w:uiPriority w:val="9"/>
    <w:qFormat/>
    <w:rsid w:val="002666e7"/>
    <w:pPr>
      <w:keepNext w:val="true"/>
      <w:suppressAutoHyphens w:val="true"/>
      <w:spacing w:lineRule="auto" w:line="240" w:before="0" w:after="0"/>
      <w:outlineLvl w:val="0"/>
    </w:pPr>
    <w:rPr>
      <w:rFonts w:ascii="Times New Roman" w:hAnsi="Times New Roman"/>
      <w:sz w:val="28"/>
      <w:szCs w:val="28"/>
    </w:rPr>
  </w:style>
  <w:style w:type="paragraph" w:styleId="Heading2">
    <w:name w:val="heading 2"/>
    <w:basedOn w:val="Normal"/>
    <w:next w:val="Normal"/>
    <w:link w:val="21"/>
    <w:uiPriority w:val="9"/>
    <w:unhideWhenUsed/>
    <w:qFormat/>
    <w:rsid w:val="00f669b1"/>
    <w:pPr>
      <w:keepNext w:val="true"/>
      <w:suppressAutoHyphens w:val="true"/>
      <w:spacing w:lineRule="auto" w:line="240" w:before="0" w:after="0"/>
      <w:jc w:val="center"/>
      <w:outlineLvl w:val="1"/>
    </w:pPr>
    <w:rPr>
      <w:rFonts w:ascii="Times New Roman" w:hAnsi="Times New Roman"/>
      <w:b/>
      <w:sz w:val="28"/>
      <w:szCs w:val="28"/>
    </w:rPr>
  </w:style>
  <w:style w:type="paragraph" w:styleId="Heading3">
    <w:name w:val="heading 3"/>
    <w:basedOn w:val="Normal"/>
    <w:next w:val="Normal"/>
    <w:link w:val="3"/>
    <w:uiPriority w:val="9"/>
    <w:unhideWhenUsed/>
    <w:qFormat/>
    <w:rsid w:val="003253c5"/>
    <w:pPr>
      <w:keepNext w:val="true"/>
      <w:suppressAutoHyphens w:val="true"/>
      <w:spacing w:lineRule="auto" w:line="240" w:before="0" w:after="0"/>
      <w:ind w:left="11057"/>
      <w:outlineLvl w:val="2"/>
    </w:pPr>
    <w:rPr>
      <w:rFonts w:ascii="Times New Roman" w:hAnsi="Times New Roman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2" w:customStyle="1">
    <w:name w:val="Основной шрифт абзаца2"/>
    <w:qFormat/>
    <w:rsid w:val="002666e7"/>
    <w:rPr/>
  </w:style>
  <w:style w:type="character" w:styleId="1" w:customStyle="1">
    <w:name w:val="Заголовок 1 Знак"/>
    <w:basedOn w:val="DefaultParagraphFont"/>
    <w:uiPriority w:val="9"/>
    <w:qFormat/>
    <w:rsid w:val="002666e7"/>
    <w:rPr>
      <w:rFonts w:ascii="Times New Roman" w:hAnsi="Times New Roman" w:cs="Times New Roman"/>
      <w:sz w:val="28"/>
      <w:szCs w:val="28"/>
    </w:rPr>
  </w:style>
  <w:style w:type="character" w:styleId="Style11" w:customStyle="1">
    <w:name w:val="Основной текст Знак"/>
    <w:basedOn w:val="DefaultParagraphFont"/>
    <w:uiPriority w:val="99"/>
    <w:qFormat/>
    <w:rsid w:val="009e3e2f"/>
    <w:rPr>
      <w:rFonts w:ascii="Times New Roman" w:hAnsi="Times New Roman" w:cs="Times New Roman"/>
      <w:bCs/>
      <w:sz w:val="24"/>
      <w:szCs w:val="24"/>
    </w:rPr>
  </w:style>
  <w:style w:type="character" w:styleId="Style12" w:customStyle="1">
    <w:name w:val="Верхний колонтитул Знак"/>
    <w:basedOn w:val="DefaultParagraphFont"/>
    <w:uiPriority w:val="99"/>
    <w:qFormat/>
    <w:rsid w:val="009e3e2f"/>
    <w:rPr>
      <w:rFonts w:cs="Times New Roman"/>
    </w:rPr>
  </w:style>
  <w:style w:type="character" w:styleId="Style13" w:customStyle="1">
    <w:name w:val="Нижний колонтитул Знак"/>
    <w:basedOn w:val="DefaultParagraphFont"/>
    <w:uiPriority w:val="99"/>
    <w:qFormat/>
    <w:rsid w:val="009e3e2f"/>
    <w:rPr>
      <w:rFonts w:cs="Times New Roman"/>
    </w:rPr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735be0"/>
    <w:rPr>
      <w:rFonts w:ascii="Segoe UI" w:hAnsi="Segoe UI" w:cs="Segoe UI"/>
      <w:sz w:val="18"/>
      <w:szCs w:val="18"/>
    </w:rPr>
  </w:style>
  <w:style w:type="character" w:styleId="21" w:customStyle="1">
    <w:name w:val="Заголовок 2 Знак"/>
    <w:basedOn w:val="DefaultParagraphFont"/>
    <w:uiPriority w:val="9"/>
    <w:qFormat/>
    <w:rsid w:val="00f669b1"/>
    <w:rPr>
      <w:rFonts w:ascii="Times New Roman" w:hAnsi="Times New Roman" w:cs="Times New Roman"/>
      <w:b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qFormat/>
    <w:rsid w:val="00e179fa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060c7f"/>
    <w:rPr>
      <w:color w:themeColor="hyperlink" w:val="0563C1"/>
      <w:u w:val="single"/>
    </w:rPr>
  </w:style>
  <w:style w:type="character" w:styleId="3" w:customStyle="1">
    <w:name w:val="Заголовок 3 Знак"/>
    <w:basedOn w:val="DefaultParagraphFont"/>
    <w:uiPriority w:val="9"/>
    <w:qFormat/>
    <w:rsid w:val="003253c5"/>
    <w:rPr>
      <w:rFonts w:ascii="Times New Roman" w:hAnsi="Times New Roman" w:cs="Times New Roman"/>
      <w:sz w:val="28"/>
      <w:szCs w:val="28"/>
    </w:rPr>
  </w:style>
  <w:style w:type="character" w:styleId="ConsPlusNormal" w:customStyle="1">
    <w:name w:val="ConsPlusNormal Знак"/>
    <w:link w:val="ConsPlusNormal1"/>
    <w:qFormat/>
    <w:locked/>
    <w:rsid w:val="00b979fb"/>
    <w:rPr>
      <w:rFonts w:ascii="Arial" w:hAnsi="Arial" w:eastAsia="Times New Roman" w:cs="Arial"/>
      <w:sz w:val="20"/>
      <w:szCs w:val="20"/>
      <w:lang w:eastAsia="ru-RU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" w:cs="Noto Sans"/>
      <w:sz w:val="28"/>
      <w:szCs w:val="28"/>
    </w:rPr>
  </w:style>
  <w:style w:type="paragraph" w:styleId="BodyText">
    <w:name w:val="Body Text"/>
    <w:basedOn w:val="Normal"/>
    <w:link w:val="Style11"/>
    <w:uiPriority w:val="99"/>
    <w:unhideWhenUsed/>
    <w:rsid w:val="009e3e2f"/>
    <w:pPr>
      <w:widowControl w:val="false"/>
      <w:spacing w:lineRule="auto" w:line="240" w:before="0" w:after="0"/>
    </w:pPr>
    <w:rPr>
      <w:rFonts w:ascii="Times New Roman" w:hAnsi="Times New Roman"/>
      <w:bCs/>
      <w:sz w:val="24"/>
      <w:szCs w:val="24"/>
    </w:rPr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/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" w:cs="Noto 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/>
  </w:style>
  <w:style w:type="paragraph" w:styleId="ConsPlusNormal1" w:customStyle="1">
    <w:name w:val="ConsPlusNormal"/>
    <w:link w:val="ConsPlusNormal"/>
    <w:qFormat/>
    <w:rsid w:val="002666e7"/>
    <w:pPr>
      <w:widowControl w:val="false"/>
      <w:suppressAutoHyphens w:val="tru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11" w:customStyle="1">
    <w:name w:val="Верхний колонтитул1"/>
    <w:basedOn w:val="Normal"/>
    <w:uiPriority w:val="99"/>
    <w:unhideWhenUsed/>
    <w:qFormat/>
    <w:rsid w:val="002666e7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Style12"/>
    <w:uiPriority w:val="99"/>
    <w:unhideWhenUsed/>
    <w:rsid w:val="009e3e2f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yle13"/>
    <w:uiPriority w:val="99"/>
    <w:unhideWhenUsed/>
    <w:rsid w:val="009e3e2f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735be0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ConsPlusNonformat" w:customStyle="1">
    <w:name w:val="ConsPlusNonformat"/>
    <w:qFormat/>
    <w:rsid w:val="003038f5"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BlockText">
    <w:name w:val="Block Text"/>
    <w:basedOn w:val="Normal"/>
    <w:uiPriority w:val="99"/>
    <w:unhideWhenUsed/>
    <w:qFormat/>
    <w:rsid w:val="00866b98"/>
    <w:pPr>
      <w:suppressAutoHyphens w:val="true"/>
      <w:spacing w:lineRule="auto" w:line="240" w:before="0" w:after="0"/>
      <w:ind w:left="109" w:right="116"/>
      <w:jc w:val="both"/>
    </w:pPr>
    <w:rPr>
      <w:rFonts w:ascii="Times New Roman" w:hAnsi="Times New Roman"/>
      <w:sz w:val="24"/>
      <w:szCs w:val="24"/>
    </w:rPr>
  </w:style>
  <w:style w:type="paragraph" w:styleId="31" w:customStyle="1">
    <w:name w:val="Основной текст с отступом 31"/>
    <w:basedOn w:val="Normal"/>
    <w:qFormat/>
    <w:rsid w:val="00ff31df"/>
    <w:pPr>
      <w:spacing w:lineRule="auto" w:line="240" w:before="0" w:after="0"/>
      <w:ind w:firstLine="709"/>
      <w:jc w:val="both"/>
    </w:pPr>
    <w:rPr>
      <w:rFonts w:ascii="Times New Roman" w:hAnsi="Times New Roman" w:eastAsia="Times New Roman"/>
      <w:sz w:val="24"/>
      <w:szCs w:val="20"/>
      <w:lang w:eastAsia="ru-RU"/>
    </w:rPr>
  </w:style>
  <w:style w:type="paragraph" w:styleId="user2">
    <w:name w:val="Содержимое врезки (user)"/>
    <w:basedOn w:val="Normal"/>
    <w:qFormat/>
    <w:pPr/>
    <w:rPr/>
  </w:style>
  <w:style w:type="paragraph" w:styleId="user3">
    <w:name w:val="Содержимое таблицы (user)"/>
    <w:basedOn w:val="Normal"/>
    <w:qFormat/>
    <w:pPr>
      <w:widowControl w:val="false"/>
      <w:suppressLineNumbers/>
    </w:pPr>
    <w:rPr/>
  </w:style>
  <w:style w:type="paragraph" w:styleId="user4">
    <w:name w:val="Заголовок таблицы (user)"/>
    <w:basedOn w:val="user3"/>
    <w:qFormat/>
    <w:pPr>
      <w:suppressLineNumbers/>
      <w:jc w:val="center"/>
    </w:pPr>
    <w:rPr>
      <w:b/>
      <w:bCs/>
    </w:rPr>
  </w:style>
  <w:style w:type="paragraph" w:styleId="Style17">
    <w:name w:val="Содержимое врезки"/>
    <w:basedOn w:val="Normal"/>
    <w:qFormat/>
    <w:pPr/>
    <w:rPr/>
  </w:style>
  <w:style w:type="numbering" w:styleId="Style18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uiPriority w:val="59"/>
    <w:rsid w:val="00b561f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892CBE-516C-4BDE-A5EF-2B027DB18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1905</TotalTime>
  <Application>LibreOffice/24.8.5.2$Linux_X86_64 LibreOffice_project/480$Build-2</Application>
  <AppVersion>15.0000</AppVersion>
  <Pages>4</Pages>
  <Words>549</Words>
  <Characters>4024</Characters>
  <CharactersWithSpaces>4627</CharactersWithSpaces>
  <Paragraphs>131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2022-11-18T08:10:00Z</dcterms:created>
  <dc:creator>Господин Никто</dc:creator>
  <dc:description/>
  <dc:language>ru-RU</dc:language>
  <cp:lastModifiedBy/>
  <cp:lastPrinted>2023-10-18T13:40:00Z</cp:lastPrinted>
  <dcterms:modified xsi:type="dcterms:W3CDTF">2025-07-29T13:54:20Z</dcterms:modified>
  <cp:revision>81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